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庐州坊游客服务中心装修工程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补遗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现将招标文件第二章 投标人须知前附表内项目业主变更，由</w:t>
      </w:r>
    </w:p>
    <w:p>
      <w:r>
        <w:drawing>
          <wp:inline distT="0" distB="0" distL="114300" distR="114300">
            <wp:extent cx="5269230" cy="901065"/>
            <wp:effectExtent l="0" t="0" r="762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变更为</w:t>
      </w:r>
    </w:p>
    <w:p>
      <w:r>
        <w:drawing>
          <wp:inline distT="0" distB="0" distL="114300" distR="114300">
            <wp:extent cx="5269865" cy="848995"/>
            <wp:effectExtent l="0" t="0" r="698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请各潜在投标人以此为准。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2021年6月18日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37B21"/>
    <w:rsid w:val="1883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2021-06-18T02:23:00Z</dcterms:created>
  <dc:creator>zzc</dc:creator>
  <cp:lastModifiedBy>zzc</cp:lastModifiedBy>
  <dcterms:modified xsi:type="dcterms:W3CDTF">2021-06-18T02:28:53Z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C96441A5FC0C4B50B8EB71F963B75B8B</vt:lpwstr>
  </property>
</Properties>
</file>